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PROXY FORM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hereby appoint the proxy stated below,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 whomever he or she may appoint,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to vote on my behalf for all my shares in Funnel Holding AB (publ), Reg No 556731-9248, at the extraordinary general meeting of Funnel Holding AB (publ) on 21 November 2025.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Proxy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25"/>
        <w:gridCol w:w="4537"/>
        <w:tblGridChange w:id="0">
          <w:tblGrid>
            <w:gridCol w:w="4525"/>
            <w:gridCol w:w="453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of the proxy</w:t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identity number/Date of birth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Address 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Postal code and city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Telephone number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Signature by the shareholder</w:t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26"/>
        <w:gridCol w:w="4536"/>
        <w:tblGridChange w:id="0">
          <w:tblGrid>
            <w:gridCol w:w="4526"/>
            <w:gridCol w:w="45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of the shareholder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identity number/Date of birth/Registration number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Place and date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Telephone number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Signature*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227" w:hanging="22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</w:t>
        <w:tab/>
        <w:t xml:space="preserve">If signing for a company, a clarification of signature shall be included above and an up to date certificate of incorporation (or the equivalent) shall be enclosed to the completed proxy form.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93"/>
        <w:tblGridChange w:id="0">
          <w:tblGrid>
            <w:gridCol w:w="9093"/>
          </w:tblGrid>
        </w:tblGridChange>
      </w:tblGrid>
      <w:tr>
        <w:trPr>
          <w:cantSplit w:val="0"/>
          <w:trHeight w:val="22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Please note that a shareholder shall give the company notice of attendance – as set out in the notice convening the meeting – even if the shareholder intends to exercise his or her voting rights through a proxy.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shareholder may revoke the proxy from by notifying the proxy of the revocation in writing.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completed proxy form (with any enclosures) should be sent to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corporate@funnel.io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together with the notice of attendance. For the avoidance of doubt, if the shareholder does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not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intend to exercise his or her voting rights through a proxy, the proxy form does not have to be sent to the company.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spacing w:before="360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Extrao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rdinary general meeting in Funnel Holding AB (publ) on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21 November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The options below comprise the proposals submitted by the board of directors which are included in the notice convening the ordinary general meeting and available at the company’s website, </w:t>
      </w:r>
      <w:hyperlink r:id="rId8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www.funnel.io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 The shareholder may not instruct the proxy in any manner other than by marking one of the stated answer alternatives. The answer may not be conditional.</w:t>
      </w:r>
      <w:r w:rsidDel="00000000" w:rsidR="00000000" w:rsidRPr="00000000">
        <w:rPr>
          <w:rtl w:val="0"/>
        </w:rPr>
      </w:r>
    </w:p>
    <w:tbl>
      <w:tblPr>
        <w:tblStyle w:val="Table4"/>
        <w:tblW w:w="87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20"/>
      </w:tblPr>
      <w:tblGrid>
        <w:gridCol w:w="1271"/>
        <w:gridCol w:w="7511"/>
        <w:tblGridChange w:id="0">
          <w:tblGrid>
            <w:gridCol w:w="1271"/>
            <w:gridCol w:w="751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befor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Opening of the meeting and election of chairman at the meeting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 </w:t>
            </w:r>
            <w:sdt>
              <w:sdtPr>
                <w:id w:val="-2122950116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-1614712264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befor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Preparation and approval of the voting list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-1107805950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1522572128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befor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Approval of the agenda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520278818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275537025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befor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Election of person to keep the minutes and person(s) to approve the minutes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-1838731341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356085845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befor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Determination that the meeting has been duly convened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-513218441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344257782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spacing w:befor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Funnel Sans" w:cs="Funnel Sans" w:eastAsia="Funnel Sans" w:hAnsi="Funnel Sans"/>
                <w:b w:val="1"/>
                <w:sz w:val="20"/>
                <w:szCs w:val="20"/>
                <w:rtl w:val="0"/>
              </w:rPr>
              <w:t xml:space="preserve">Approval of the board’s resolution to issue new warrants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-1468619923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1535585612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before="240" w:lineRule="auto"/>
              <w:ind w:left="36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unnel Sans" w:cs="Funnel Sans" w:eastAsia="Funnel Sans" w:hAnsi="Funnel Sans"/>
                <w:b w:val="1"/>
                <w:sz w:val="20"/>
                <w:szCs w:val="20"/>
                <w:rtl w:val="0"/>
              </w:rPr>
              <w:t xml:space="preserve">Close of the meeting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936067191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-88586035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before="240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240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240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headerReference r:id="rId9" w:type="first"/>
      <w:footerReference r:id="rId10" w:type="defaul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rial Unicode MS"/>
  <w:font w:name="Funnel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120" w:lineRule="auto"/>
      <w:ind w:left="-680" w:right="-68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57" w:hanging="357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rsid w:val="006D1088"/>
    <w:pPr>
      <w:spacing w:after="100" w:afterAutospacing="1" w:before="100" w:beforeAutospacing="1"/>
    </w:pPr>
  </w:style>
  <w:style w:type="table" w:styleId="TableGrid">
    <w:name w:val="Table Grid"/>
    <w:basedOn w:val="TableNormal"/>
    <w:rsid w:val="00822C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rsid w:val="004674E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674E4"/>
    <w:pPr>
      <w:tabs>
        <w:tab w:val="center" w:pos="4536"/>
        <w:tab w:val="right" w:pos="9072"/>
      </w:tabs>
    </w:pPr>
  </w:style>
  <w:style w:type="paragraph" w:styleId="Heading110pt" w:customStyle="1">
    <w:name w:val="Heading 1 + 10 pt"/>
    <w:basedOn w:val="Heading1"/>
    <w:rsid w:val="00F06A86"/>
    <w:rPr>
      <w:sz w:val="24"/>
      <w:lang w:val="en-US"/>
    </w:rPr>
  </w:style>
  <w:style w:type="character" w:styleId="Hyperlink">
    <w:name w:val="Hyperlink"/>
    <w:rsid w:val="008C6876"/>
    <w:rPr>
      <w:color w:val="0563c1"/>
      <w:u w:val="single"/>
    </w:rPr>
  </w:style>
  <w:style w:type="character" w:styleId="UnresolvedMention">
    <w:name w:val="Unresolved Mention"/>
    <w:uiPriority w:val="99"/>
    <w:semiHidden w:val="1"/>
    <w:unhideWhenUsed w:val="1"/>
    <w:rsid w:val="008C6876"/>
    <w:rPr>
      <w:color w:val="808080"/>
      <w:shd w:color="auto" w:fill="e6e6e6" w:val="clear"/>
    </w:rPr>
  </w:style>
  <w:style w:type="table" w:styleId="VingeDefault1" w:customStyle="1">
    <w:name w:val="Vinge_Default1"/>
    <w:basedOn w:val="TableNormal"/>
    <w:uiPriority w:val="99"/>
    <w:rsid w:val="002D224F"/>
    <w:rPr>
      <w:rFonts w:eastAsia="Times New Roman"/>
      <w:sz w:val="22"/>
      <w:szCs w:val="22"/>
      <w:lang w:eastAsia="en-US"/>
    </w:rPr>
    <w:tblPr>
      <w:tblBorders>
        <w:top w:color="a6a6a6" w:space="0" w:sz="4" w:val="single"/>
        <w:left w:color="a6a6a6" w:space="0" w:sz="4" w:val="single"/>
        <w:bottom w:color="a6a6a6" w:space="0" w:sz="4" w:val="single"/>
        <w:right w:color="a6a6a6" w:space="0" w:sz="4" w:val="single"/>
        <w:insideH w:color="a6a6a6" w:space="0" w:sz="4" w:val="single"/>
        <w:insideV w:color="a6a6a6" w:space="0" w:sz="4" w:val="single"/>
      </w:tblBorders>
      <w:tblCellMar>
        <w:top w:w="57.0" w:type="dxa"/>
        <w:bottom w:w="57.0" w:type="dxa"/>
      </w:tblCellMar>
    </w:tblPr>
    <w:tblStylePr w:type="firstRow">
      <w:rPr>
        <w:rFonts w:ascii="Times New Roman" w:hAnsi="Times New Roman"/>
        <w:b w:val="1"/>
        <w:color w:val="auto"/>
        <w:sz w:val="22"/>
      </w:rPr>
      <w:tblPr/>
      <w:tcPr>
        <w:shd w:color="auto" w:fill="dae4cc" w:val="clear"/>
      </w:tcPr>
    </w:tblStylePr>
  </w:style>
  <w:style w:type="character" w:styleId="CommentReference">
    <w:name w:val="annotation reference"/>
    <w:basedOn w:val="DefaultParagraphFont"/>
    <w:rsid w:val="002D22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224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2D224F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D224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rsid w:val="002D224F"/>
    <w:rPr>
      <w:b w:val="1"/>
      <w:bCs w:val="1"/>
      <w:lang w:eastAsia="zh-CN"/>
    </w:rPr>
  </w:style>
  <w:style w:type="paragraph" w:styleId="BalloonText">
    <w:name w:val="Balloon Text"/>
    <w:basedOn w:val="Normal"/>
    <w:link w:val="BalloonTextChar"/>
    <w:rsid w:val="002D224F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2D224F"/>
    <w:rPr>
      <w:rFonts w:ascii="Segoe UI" w:cs="Segoe UI" w:hAnsi="Segoe UI"/>
      <w:sz w:val="18"/>
      <w:szCs w:val="18"/>
      <w:lang w:eastAsia="zh-CN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  <w:tblStylePr w:type="firstRow">
      <w:rPr>
        <w:rFonts w:ascii="Times New Roman" w:cs="Times New Roman" w:eastAsia="Times New Roman" w:hAnsi="Times New Roman"/>
        <w:b w:val="1"/>
        <w:color w:val="000000"/>
        <w:sz w:val="22"/>
        <w:szCs w:val="22"/>
      </w:rPr>
      <w:tcPr>
        <w:shd w:fill="dae4cc" w:val="clear"/>
      </w:tcPr>
    </w:tblStyle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  <w:tblStylePr w:type="firstRow">
      <w:rPr>
        <w:rFonts w:ascii="Times New Roman" w:cs="Times New Roman" w:eastAsia="Times New Roman" w:hAnsi="Times New Roman"/>
        <w:b w:val="1"/>
        <w:color w:val="000000"/>
        <w:sz w:val="22"/>
        <w:szCs w:val="22"/>
      </w:rPr>
      <w:tcPr>
        <w:shd w:fill="dae4cc" w:val="clear"/>
      </w:tcPr>
    </w:tblStyle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  <w:tblStylePr w:type="firstRow">
      <w:rPr>
        <w:rFonts w:ascii="Times New Roman" w:cs="Times New Roman" w:eastAsia="Times New Roman" w:hAnsi="Times New Roman"/>
        <w:b w:val="1"/>
        <w:color w:val="000000"/>
        <w:sz w:val="22"/>
        <w:szCs w:val="22"/>
      </w:rPr>
      <w:tcPr>
        <w:shd w:fill="dae4cc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  <w:tblStylePr w:type="firstRow">
      <w:rPr>
        <w:rFonts w:ascii="Times New Roman" w:cs="Times New Roman" w:eastAsia="Times New Roman" w:hAnsi="Times New Roman"/>
        <w:b w:val="1"/>
        <w:color w:val="000000"/>
        <w:sz w:val="22"/>
        <w:szCs w:val="22"/>
      </w:rPr>
      <w:tcPr>
        <w:shd w:fill="dae4cc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rporate@funnel.io" TargetMode="External"/><Relationship Id="rId8" Type="http://schemas.openxmlformats.org/officeDocument/2006/relationships/hyperlink" Target="http://www.funnel.i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unnelSans-regular.ttf"/><Relationship Id="rId2" Type="http://schemas.openxmlformats.org/officeDocument/2006/relationships/font" Target="fonts/FunnelSans-bold.ttf"/><Relationship Id="rId3" Type="http://schemas.openxmlformats.org/officeDocument/2006/relationships/font" Target="fonts/FunnelSans-italic.ttf"/><Relationship Id="rId4" Type="http://schemas.openxmlformats.org/officeDocument/2006/relationships/font" Target="fonts/FunnelSans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USL5+2wYAwuxRRBenvfL+9z8r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zIJaC4zMGowemxsOAByITFjb3d3WklEandrejU2WmxmMUNjR1FlTE15VmtpMmw3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2022-05-31T10:29:00Z</dcterms:created>
  <dc:creator>Victoria  Sörving</dc:creator>
</cp:coreProperties>
</file>